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Inspirations from Childhood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Friday December 4, 2015, 7 p.m.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Ralitza Patcheva and Sam Post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I. Memories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Ralitza Patcheva, piano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Polonaise in G minor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March in D major</w:t>
        <w:tab/>
        <w:tab/>
        <w:t xml:space="preserve">            From the notebook of Anna Magdalena Bach (1701-1760)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Invention in F major</w:t>
        <w:tab/>
        <w:tab/>
        <w:tab/>
        <w:tab/>
        <w:tab/>
        <w:tab/>
        <w:tab/>
        <w:t xml:space="preserve">         J.S. Bach (1685-1750)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Scherzo (from Sonatina in G major, Op. 151 #1)</w:t>
        <w:tab/>
        <w:tab/>
        <w:tab/>
        <w:t xml:space="preserve">         A. Diabelli (1781-1858)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Allegro (from Viennese Sonatina  # 6 in C major)</w:t>
        <w:tab/>
        <w:t xml:space="preserve">                             W.A. Mozart (1756-1791)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From the Album for the Young, op. 68</w:t>
        <w:tab/>
        <w:tab/>
        <w:tab/>
        <w:t xml:space="preserve">                R. Schumann (1810-1856)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     The Merry Peasant Returning from 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     The First Loss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     The Wild Rider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Mazurka( from Album for the Young, op. 39)</w:t>
        <w:tab/>
        <w:tab/>
        <w:tab/>
        <w:t xml:space="preserve">             P. Tchaikovsky (1840-1893)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Rain and Rainbow (from Music for Children, Op. 65) </w:t>
        <w:tab/>
        <w:tab/>
        <w:t xml:space="preserve">      S. Prokofieff (1891-1953)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From Bulgarian Sketchbook</w:t>
        <w:tab/>
        <w:tab/>
        <w:tab/>
        <w:tab/>
        <w:tab/>
        <w:t xml:space="preserve">   Menahem Bensussan (1901-1970)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ab/>
        <w:t xml:space="preserve">Morning Breeze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Mountain Brook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The little golden moon…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Hymn</w:t>
        <w:tab/>
        <w:tab/>
        <w:tab/>
        <w:tab/>
        <w:tab/>
        <w:tab/>
        <w:tab/>
        <w:tab/>
        <w:tab/>
        <w:tab/>
        <w:t xml:space="preserve">    S. Post (b. 1986)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color w:val="222222"/>
          <w:highlight w:val="white"/>
          <w:rtl w:val="0"/>
        </w:rPr>
        <w:t xml:space="preserve">II. Reflections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color w:val="222222"/>
          <w:highlight w:val="white"/>
          <w:rtl w:val="0"/>
        </w:rPr>
        <w:t xml:space="preserve">Sam Post, piano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Autumn</w:t>
        <w:tab/>
        <w:tab/>
        <w:tab/>
        <w:tab/>
        <w:tab/>
        <w:tab/>
        <w:tab/>
        <w:tab/>
        <w:tab/>
        <w:t xml:space="preserve">     traditional Russian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Melody</w:t>
        <w:tab/>
        <w:tab/>
        <w:tab/>
        <w:tab/>
        <w:tab/>
        <w:tab/>
        <w:tab/>
        <w:tab/>
        <w:tab/>
        <w:t xml:space="preserve">   D. Kabalevsky (1904-1987)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March</w:t>
        <w:tab/>
        <w:tab/>
        <w:tab/>
        <w:tab/>
        <w:tab/>
        <w:tab/>
        <w:tab/>
        <w:tab/>
        <w:tab/>
        <w:t xml:space="preserve">D. Shostakovich (1906-1975)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Winter</w:t>
        <w:tab/>
        <w:tab/>
        <w:tab/>
        <w:tab/>
        <w:tab/>
        <w:tab/>
        <w:tab/>
        <w:tab/>
        <w:tab/>
        <w:t xml:space="preserve">        M. Krutitsky? (unknown)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Dreams</w:t>
        <w:tab/>
        <w:tab/>
        <w:tab/>
        <w:tab/>
        <w:tab/>
        <w:tab/>
        <w:tab/>
        <w:tab/>
        <w:t xml:space="preserve">       A. Tansman (1897-1986)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From “for Children,” Sz. 42</w:t>
        <w:tab/>
        <w:tab/>
        <w:tab/>
        <w:tab/>
        <w:tab/>
        <w:tab/>
        <w:t xml:space="preserve">           B. Bartok (1881-1945)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ab/>
        <w:t xml:space="preserve">5. Poco allegretto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37. Molto tranquillo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12. Allegro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Little Prelude in C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Little Prelude in F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Invention in D minor</w:t>
        <w:tab/>
        <w:tab/>
        <w:tab/>
        <w:tab/>
        <w:tab/>
        <w:tab/>
        <w:tab/>
        <w:tab/>
        <w:t xml:space="preserve">                   J.S. Bach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Hypnotized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Mournful Rag</w:t>
        <w:tab/>
        <w:tab/>
        <w:tab/>
        <w:tab/>
        <w:tab/>
        <w:tab/>
        <w:tab/>
        <w:tab/>
        <w:tab/>
        <w:t xml:space="preserve">                       S. Post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color w:val="222222"/>
          <w:highlight w:val="white"/>
          <w:rtl w:val="0"/>
        </w:rPr>
        <w:t xml:space="preserve">Intermission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color w:val="222222"/>
          <w:highlight w:val="white"/>
          <w:rtl w:val="0"/>
        </w:rPr>
        <w:t xml:space="preserve">III. Inspirations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color w:val="222222"/>
          <w:highlight w:val="white"/>
          <w:rtl w:val="0"/>
        </w:rPr>
        <w:t xml:space="preserve">Sam Post and Ralitza Patcheva, piano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For solo piano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“On the Lawn” - from a traditional Russian melody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Dumka - from a Ukrainian folk ballad by Jon George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“Under the Green Apple Tree” - from a traditional Russian melody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Winter - from a piece by Sam Post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Folk Song - from a traditional Russian melody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For two pianos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Love duet - from Czerny, Op. 453, #38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“Wishful Thinking” - folk dance from a tune by Mona Rejino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“Star Quest” - galactic fantasy from a tune by Philip Keveren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Sonata in one movement, from Czerny, Op. 261, #1</w:t>
        <w:tab/>
        <w:tab/>
        <w:tab/>
        <w:tab/>
        <w:tab/>
        <w:t xml:space="preserve">S. Post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